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80F3" w14:textId="77777777" w:rsidR="00297CF8" w:rsidRPr="00D40944" w:rsidRDefault="00297CF8" w:rsidP="00297CF8">
      <w:pPr>
        <w:jc w:val="center"/>
        <w:rPr>
          <w:b/>
          <w:bCs/>
          <w:sz w:val="28"/>
          <w:szCs w:val="28"/>
        </w:rPr>
      </w:pPr>
      <w:r w:rsidRPr="00D40944">
        <w:rPr>
          <w:b/>
          <w:bCs/>
          <w:sz w:val="28"/>
          <w:szCs w:val="28"/>
        </w:rPr>
        <w:t>ATT Working Group Meetings</w:t>
      </w:r>
    </w:p>
    <w:p w14:paraId="2493A5D9" w14:textId="2025C1EC" w:rsidR="00297CF8" w:rsidRPr="00D40944" w:rsidRDefault="00297CF8" w:rsidP="00297CF8">
      <w:pPr>
        <w:jc w:val="center"/>
        <w:rPr>
          <w:b/>
          <w:bCs/>
          <w:sz w:val="28"/>
          <w:szCs w:val="28"/>
        </w:rPr>
      </w:pPr>
      <w:r w:rsidRPr="00D40944">
        <w:rPr>
          <w:b/>
          <w:bCs/>
          <w:sz w:val="28"/>
          <w:szCs w:val="28"/>
        </w:rPr>
        <w:t xml:space="preserve">Geneva </w:t>
      </w:r>
      <w:r>
        <w:rPr>
          <w:b/>
          <w:bCs/>
          <w:sz w:val="28"/>
          <w:szCs w:val="28"/>
        </w:rPr>
        <w:t>March 2026</w:t>
      </w:r>
    </w:p>
    <w:p w14:paraId="4F4E38D1" w14:textId="4D3A9CBA" w:rsidR="00297CF8" w:rsidRPr="00D40944" w:rsidRDefault="00297CF8" w:rsidP="00297CF8">
      <w:pPr>
        <w:jc w:val="center"/>
        <w:rPr>
          <w:b/>
          <w:bCs/>
          <w:sz w:val="28"/>
          <w:szCs w:val="28"/>
        </w:rPr>
      </w:pPr>
      <w:r w:rsidRPr="00D40944">
        <w:rPr>
          <w:b/>
          <w:bCs/>
          <w:sz w:val="28"/>
          <w:szCs w:val="28"/>
        </w:rPr>
        <w:t>Australia - Interventi</w:t>
      </w:r>
      <w:r w:rsidRPr="00775C9E">
        <w:rPr>
          <w:b/>
          <w:bCs/>
          <w:sz w:val="28"/>
          <w:szCs w:val="28"/>
        </w:rPr>
        <w:t>on</w:t>
      </w:r>
      <w:r w:rsidRPr="00D40944">
        <w:rPr>
          <w:b/>
          <w:bCs/>
          <w:sz w:val="28"/>
          <w:szCs w:val="28"/>
        </w:rPr>
        <w:t xml:space="preserve"> </w:t>
      </w:r>
      <w:r>
        <w:rPr>
          <w:b/>
          <w:bCs/>
          <w:sz w:val="28"/>
          <w:szCs w:val="28"/>
        </w:rPr>
        <w:t>for Working Group on Treaty</w:t>
      </w:r>
      <w:r w:rsidRPr="00D40944">
        <w:rPr>
          <w:b/>
          <w:bCs/>
          <w:sz w:val="28"/>
          <w:szCs w:val="28"/>
        </w:rPr>
        <w:t xml:space="preserve"> </w:t>
      </w:r>
      <w:r>
        <w:rPr>
          <w:b/>
          <w:bCs/>
          <w:sz w:val="28"/>
          <w:szCs w:val="28"/>
        </w:rPr>
        <w:t>Universalisation (WGTU)</w:t>
      </w:r>
    </w:p>
    <w:p w14:paraId="06E6929B" w14:textId="6B25D707" w:rsidR="00297CF8" w:rsidRPr="00BD79F0" w:rsidRDefault="00297CF8" w:rsidP="00297CF8">
      <w:pPr>
        <w:spacing w:after="0"/>
        <w:rPr>
          <w:i/>
          <w:iCs/>
          <w:sz w:val="28"/>
          <w:szCs w:val="28"/>
          <w:u w:val="single"/>
        </w:rPr>
      </w:pPr>
      <w:r>
        <w:rPr>
          <w:i/>
          <w:iCs/>
          <w:sz w:val="28"/>
          <w:szCs w:val="28"/>
          <w:u w:val="single"/>
        </w:rPr>
        <w:t xml:space="preserve">Agenda item 4: </w:t>
      </w:r>
      <w:r w:rsidRPr="00385F2B">
        <w:rPr>
          <w:i/>
          <w:iCs/>
          <w:sz w:val="28"/>
          <w:szCs w:val="28"/>
          <w:u w:val="single"/>
        </w:rPr>
        <w:t>Update on efforts by States to promote the universalization of ATT</w:t>
      </w:r>
    </w:p>
    <w:p w14:paraId="5692EE44" w14:textId="77777777" w:rsidR="00297CF8" w:rsidRDefault="00297CF8" w:rsidP="00297CF8">
      <w:pPr>
        <w:spacing w:after="0"/>
        <w:rPr>
          <w:sz w:val="28"/>
          <w:szCs w:val="28"/>
        </w:rPr>
      </w:pPr>
    </w:p>
    <w:p w14:paraId="5C7050C6" w14:textId="70675283" w:rsidR="00297CF8" w:rsidRDefault="0D27E406" w:rsidP="00297CF8">
      <w:pPr>
        <w:spacing w:after="0"/>
        <w:rPr>
          <w:sz w:val="28"/>
          <w:szCs w:val="28"/>
        </w:rPr>
      </w:pPr>
      <w:r w:rsidRPr="6482F8E4">
        <w:rPr>
          <w:sz w:val="28"/>
          <w:szCs w:val="28"/>
        </w:rPr>
        <w:t>T</w:t>
      </w:r>
      <w:r w:rsidR="00297CF8" w:rsidRPr="6482F8E4">
        <w:rPr>
          <w:sz w:val="28"/>
          <w:szCs w:val="28"/>
        </w:rPr>
        <w:t>hank you</w:t>
      </w:r>
    </w:p>
    <w:p w14:paraId="0397DDF0" w14:textId="73878663" w:rsidR="00185A18" w:rsidRDefault="00185A18" w:rsidP="00297CF8">
      <w:pPr>
        <w:spacing w:after="0"/>
        <w:rPr>
          <w:sz w:val="28"/>
          <w:szCs w:val="28"/>
        </w:rPr>
      </w:pPr>
    </w:p>
    <w:p w14:paraId="029CEB70" w14:textId="51BA8D59" w:rsidR="007D4B8B" w:rsidRDefault="00F75C5A" w:rsidP="24ADFF36">
      <w:pPr>
        <w:spacing w:after="0"/>
        <w:rPr>
          <w:sz w:val="28"/>
          <w:szCs w:val="28"/>
        </w:rPr>
      </w:pPr>
      <w:r w:rsidRPr="6482F8E4">
        <w:rPr>
          <w:sz w:val="28"/>
          <w:szCs w:val="28"/>
        </w:rPr>
        <w:t xml:space="preserve">At the outset, </w:t>
      </w:r>
      <w:r w:rsidR="007D4B8B" w:rsidRPr="6482F8E4">
        <w:rPr>
          <w:sz w:val="28"/>
          <w:szCs w:val="28"/>
        </w:rPr>
        <w:t>we wish to thank the</w:t>
      </w:r>
      <w:r w:rsidRPr="6482F8E4">
        <w:rPr>
          <w:sz w:val="28"/>
          <w:szCs w:val="28"/>
        </w:rPr>
        <w:t xml:space="preserve"> Co</w:t>
      </w:r>
      <w:r w:rsidRPr="6482F8E4">
        <w:rPr>
          <w:rFonts w:ascii="Cambria Math" w:hAnsi="Cambria Math" w:cs="Cambria Math"/>
          <w:sz w:val="28"/>
          <w:szCs w:val="28"/>
        </w:rPr>
        <w:t>‑</w:t>
      </w:r>
      <w:r w:rsidRPr="6482F8E4">
        <w:rPr>
          <w:sz w:val="28"/>
          <w:szCs w:val="28"/>
        </w:rPr>
        <w:t>Chairs</w:t>
      </w:r>
      <w:r w:rsidR="587F8B01" w:rsidRPr="6482F8E4">
        <w:rPr>
          <w:sz w:val="28"/>
          <w:szCs w:val="28"/>
        </w:rPr>
        <w:t>, Argentina and South Africa for their commitment to this important issue.</w:t>
      </w:r>
    </w:p>
    <w:p w14:paraId="14299741" w14:textId="4CC9E033" w:rsidR="2C081E23" w:rsidRDefault="2C081E23" w:rsidP="2C081E23">
      <w:pPr>
        <w:spacing w:after="0"/>
        <w:rPr>
          <w:sz w:val="28"/>
          <w:szCs w:val="28"/>
        </w:rPr>
      </w:pPr>
    </w:p>
    <w:p w14:paraId="6B6CBC0B" w14:textId="044C6795" w:rsidR="7BC44E85" w:rsidRDefault="00077B5D" w:rsidP="2C081E23">
      <w:pPr>
        <w:spacing w:after="0"/>
        <w:rPr>
          <w:sz w:val="28"/>
          <w:szCs w:val="28"/>
        </w:rPr>
      </w:pPr>
      <w:r w:rsidRPr="6482F8E4">
        <w:rPr>
          <w:sz w:val="28"/>
          <w:szCs w:val="28"/>
        </w:rPr>
        <w:t>We</w:t>
      </w:r>
      <w:r w:rsidR="7BC44E85" w:rsidRPr="6482F8E4">
        <w:rPr>
          <w:sz w:val="28"/>
          <w:szCs w:val="28"/>
        </w:rPr>
        <w:t xml:space="preserve"> also congratulate Vanuatu for its ratification of the ATT la</w:t>
      </w:r>
      <w:r w:rsidR="6C999775" w:rsidRPr="6482F8E4">
        <w:rPr>
          <w:sz w:val="28"/>
          <w:szCs w:val="28"/>
        </w:rPr>
        <w:t>st year</w:t>
      </w:r>
      <w:r w:rsidR="7BC44E85" w:rsidRPr="6482F8E4">
        <w:rPr>
          <w:sz w:val="28"/>
          <w:szCs w:val="28"/>
        </w:rPr>
        <w:t xml:space="preserve"> and Ecu</w:t>
      </w:r>
      <w:r w:rsidR="605CE9BB" w:rsidRPr="6482F8E4">
        <w:rPr>
          <w:sz w:val="28"/>
          <w:szCs w:val="28"/>
        </w:rPr>
        <w:t>ador for its ratification last month</w:t>
      </w:r>
      <w:r w:rsidR="574D1DE6" w:rsidRPr="6482F8E4">
        <w:rPr>
          <w:sz w:val="28"/>
          <w:szCs w:val="28"/>
        </w:rPr>
        <w:t xml:space="preserve">. </w:t>
      </w:r>
    </w:p>
    <w:p w14:paraId="4F0EA5AF" w14:textId="33D9E30F" w:rsidR="24ADFF36" w:rsidRDefault="24ADFF36" w:rsidP="24ADFF36">
      <w:pPr>
        <w:spacing w:after="0"/>
        <w:rPr>
          <w:sz w:val="28"/>
          <w:szCs w:val="28"/>
        </w:rPr>
      </w:pPr>
    </w:p>
    <w:p w14:paraId="2B8CF07B" w14:textId="46978753" w:rsidR="77A31FA1" w:rsidRDefault="77A31FA1" w:rsidP="24ADFF36">
      <w:pPr>
        <w:spacing w:after="0"/>
        <w:rPr>
          <w:sz w:val="28"/>
          <w:szCs w:val="28"/>
        </w:rPr>
      </w:pPr>
      <w:r w:rsidRPr="69AE0B7F">
        <w:rPr>
          <w:sz w:val="28"/>
          <w:szCs w:val="28"/>
        </w:rPr>
        <w:t>Australia is firmly committed to universalisation of the ATT, which is crucial to achieving the object and purpose of the Treaty</w:t>
      </w:r>
      <w:r w:rsidR="005E350E" w:rsidRPr="69AE0B7F">
        <w:rPr>
          <w:sz w:val="28"/>
          <w:szCs w:val="28"/>
        </w:rPr>
        <w:t>.</w:t>
      </w:r>
      <w:r w:rsidRPr="69AE0B7F">
        <w:rPr>
          <w:sz w:val="28"/>
          <w:szCs w:val="28"/>
        </w:rPr>
        <w:t xml:space="preserve"> </w:t>
      </w:r>
    </w:p>
    <w:p w14:paraId="12A0F24C" w14:textId="77777777" w:rsidR="007D4B8B" w:rsidRPr="00F75C5A" w:rsidRDefault="007D4B8B" w:rsidP="00F75C5A">
      <w:pPr>
        <w:spacing w:after="0"/>
        <w:rPr>
          <w:sz w:val="28"/>
          <w:szCs w:val="28"/>
        </w:rPr>
      </w:pPr>
    </w:p>
    <w:p w14:paraId="14B3EC27" w14:textId="22384700" w:rsidR="003A141C" w:rsidRPr="003A141C" w:rsidRDefault="003A141C" w:rsidP="24ADFF36">
      <w:pPr>
        <w:spacing w:after="0"/>
        <w:rPr>
          <w:sz w:val="28"/>
          <w:szCs w:val="28"/>
        </w:rPr>
      </w:pPr>
      <w:r w:rsidRPr="515A7F45">
        <w:rPr>
          <w:sz w:val="28"/>
          <w:szCs w:val="28"/>
        </w:rPr>
        <w:t xml:space="preserve">We welcome efforts to promote universalisation of the ATT. States will only join if the </w:t>
      </w:r>
      <w:r w:rsidR="640DEAEB" w:rsidRPr="515A7F45">
        <w:rPr>
          <w:sz w:val="28"/>
          <w:szCs w:val="28"/>
        </w:rPr>
        <w:t>T</w:t>
      </w:r>
      <w:r w:rsidRPr="515A7F45">
        <w:rPr>
          <w:sz w:val="28"/>
          <w:szCs w:val="28"/>
        </w:rPr>
        <w:t>reaty’s value is clearly and effectively communicated to key government stakeholders</w:t>
      </w:r>
      <w:r w:rsidR="31D3F4B2" w:rsidRPr="515A7F45">
        <w:rPr>
          <w:sz w:val="28"/>
          <w:szCs w:val="28"/>
        </w:rPr>
        <w:t xml:space="preserve"> – </w:t>
      </w:r>
      <w:r w:rsidRPr="515A7F45">
        <w:rPr>
          <w:sz w:val="28"/>
          <w:szCs w:val="28"/>
        </w:rPr>
        <w:t xml:space="preserve"> including how they can engage prior to accession.</w:t>
      </w:r>
    </w:p>
    <w:p w14:paraId="16F258F7" w14:textId="77777777" w:rsidR="009A7873" w:rsidRDefault="009A7873" w:rsidP="00880011">
      <w:pPr>
        <w:spacing w:after="0"/>
        <w:rPr>
          <w:sz w:val="28"/>
          <w:szCs w:val="28"/>
        </w:rPr>
      </w:pPr>
    </w:p>
    <w:p w14:paraId="26A2B85A" w14:textId="36186895" w:rsidR="00D4282C" w:rsidRDefault="0A4CC3D3" w:rsidP="00D4282C">
      <w:pPr>
        <w:spacing w:after="0"/>
        <w:rPr>
          <w:sz w:val="28"/>
          <w:szCs w:val="28"/>
        </w:rPr>
      </w:pPr>
      <w:r w:rsidRPr="6482F8E4">
        <w:rPr>
          <w:sz w:val="28"/>
          <w:szCs w:val="28"/>
        </w:rPr>
        <w:t>As was mentioned earlier, last month</w:t>
      </w:r>
      <w:r w:rsidR="00D4282C" w:rsidRPr="6482F8E4">
        <w:rPr>
          <w:sz w:val="28"/>
          <w:szCs w:val="28"/>
        </w:rPr>
        <w:t xml:space="preserve"> Australia hosted a disarmament briefing that brought together Pacific Missions, the </w:t>
      </w:r>
      <w:r w:rsidR="00CC096D" w:rsidRPr="6482F8E4">
        <w:rPr>
          <w:sz w:val="28"/>
          <w:szCs w:val="28"/>
        </w:rPr>
        <w:t>UN</w:t>
      </w:r>
      <w:r w:rsidR="00D4282C" w:rsidRPr="6482F8E4">
        <w:rPr>
          <w:sz w:val="28"/>
          <w:szCs w:val="28"/>
        </w:rPr>
        <w:t xml:space="preserve"> Office for Disarmament Affairs, and t</w:t>
      </w:r>
      <w:r w:rsidR="00BF50EA" w:rsidRPr="6482F8E4">
        <w:rPr>
          <w:sz w:val="28"/>
          <w:szCs w:val="28"/>
        </w:rPr>
        <w:t xml:space="preserve">he </w:t>
      </w:r>
      <w:r w:rsidR="00D4282C" w:rsidRPr="6482F8E4">
        <w:rPr>
          <w:sz w:val="28"/>
          <w:szCs w:val="28"/>
        </w:rPr>
        <w:t xml:space="preserve">Implementation Support Units of disarmament treaties, including the </w:t>
      </w:r>
      <w:r w:rsidR="00620A76" w:rsidRPr="6482F8E4">
        <w:rPr>
          <w:sz w:val="28"/>
          <w:szCs w:val="28"/>
        </w:rPr>
        <w:t>ATT</w:t>
      </w:r>
      <w:r w:rsidR="00D4282C" w:rsidRPr="6482F8E4">
        <w:rPr>
          <w:sz w:val="28"/>
          <w:szCs w:val="28"/>
        </w:rPr>
        <w:t xml:space="preserve"> Secretariat.</w:t>
      </w:r>
    </w:p>
    <w:p w14:paraId="24224A19" w14:textId="77777777" w:rsidR="00BF50EA" w:rsidRDefault="00BF50EA" w:rsidP="00D4282C">
      <w:pPr>
        <w:spacing w:after="0"/>
        <w:rPr>
          <w:sz w:val="28"/>
          <w:szCs w:val="28"/>
        </w:rPr>
      </w:pPr>
    </w:p>
    <w:p w14:paraId="4B872D56" w14:textId="5289E0A4" w:rsidR="00D4282C" w:rsidRDefault="325D0C4A" w:rsidP="00D4282C">
      <w:pPr>
        <w:spacing w:after="0"/>
        <w:rPr>
          <w:sz w:val="28"/>
          <w:szCs w:val="28"/>
        </w:rPr>
      </w:pPr>
      <w:r w:rsidRPr="69AE0B7F">
        <w:rPr>
          <w:sz w:val="28"/>
          <w:szCs w:val="28"/>
        </w:rPr>
        <w:t>In t</w:t>
      </w:r>
      <w:r w:rsidR="00D4282C" w:rsidRPr="69AE0B7F">
        <w:rPr>
          <w:sz w:val="28"/>
          <w:szCs w:val="28"/>
        </w:rPr>
        <w:t xml:space="preserve">his meeting </w:t>
      </w:r>
      <w:r w:rsidR="36FC00BE" w:rsidRPr="69AE0B7F">
        <w:rPr>
          <w:sz w:val="28"/>
          <w:szCs w:val="28"/>
        </w:rPr>
        <w:t>w</w:t>
      </w:r>
      <w:r w:rsidR="3329A97C" w:rsidRPr="69AE0B7F">
        <w:rPr>
          <w:sz w:val="28"/>
          <w:szCs w:val="28"/>
        </w:rPr>
        <w:t>e</w:t>
      </w:r>
      <w:r w:rsidR="00D4282C" w:rsidRPr="69AE0B7F">
        <w:rPr>
          <w:sz w:val="28"/>
          <w:szCs w:val="28"/>
        </w:rPr>
        <w:t xml:space="preserve"> identif</w:t>
      </w:r>
      <w:r w:rsidR="55065039" w:rsidRPr="69AE0B7F">
        <w:rPr>
          <w:sz w:val="28"/>
          <w:szCs w:val="28"/>
        </w:rPr>
        <w:t>ied</w:t>
      </w:r>
      <w:r w:rsidR="00D4282C" w:rsidRPr="69AE0B7F">
        <w:rPr>
          <w:sz w:val="28"/>
          <w:szCs w:val="28"/>
        </w:rPr>
        <w:t xml:space="preserve"> practical opportunities for Pacific States to further strengthen their engagement with the ATT. </w:t>
      </w:r>
      <w:r w:rsidR="7C9A88FF" w:rsidRPr="69AE0B7F">
        <w:rPr>
          <w:sz w:val="28"/>
          <w:szCs w:val="28"/>
        </w:rPr>
        <w:t xml:space="preserve">Participants </w:t>
      </w:r>
      <w:r w:rsidR="00D4282C" w:rsidRPr="69AE0B7F">
        <w:rPr>
          <w:sz w:val="28"/>
          <w:szCs w:val="28"/>
        </w:rPr>
        <w:t>highlighted the range of support available to build national and regional capacity</w:t>
      </w:r>
      <w:r w:rsidR="00701FBC" w:rsidRPr="69AE0B7F">
        <w:rPr>
          <w:sz w:val="28"/>
          <w:szCs w:val="28"/>
        </w:rPr>
        <w:t xml:space="preserve">. This </w:t>
      </w:r>
      <w:r w:rsidR="00D4282C" w:rsidRPr="69AE0B7F">
        <w:rPr>
          <w:sz w:val="28"/>
          <w:szCs w:val="28"/>
        </w:rPr>
        <w:t>includ</w:t>
      </w:r>
      <w:r w:rsidR="00701FBC" w:rsidRPr="69AE0B7F">
        <w:rPr>
          <w:sz w:val="28"/>
          <w:szCs w:val="28"/>
        </w:rPr>
        <w:t>ed</w:t>
      </w:r>
      <w:r w:rsidR="00D4282C" w:rsidRPr="69AE0B7F">
        <w:rPr>
          <w:sz w:val="28"/>
          <w:szCs w:val="28"/>
        </w:rPr>
        <w:t xml:space="preserve"> sponsorship for capital</w:t>
      </w:r>
      <w:r w:rsidR="00D4282C" w:rsidRPr="69AE0B7F">
        <w:rPr>
          <w:rFonts w:ascii="Cambria Math" w:hAnsi="Cambria Math" w:cs="Cambria Math"/>
          <w:sz w:val="28"/>
          <w:szCs w:val="28"/>
        </w:rPr>
        <w:t>‑</w:t>
      </w:r>
      <w:r w:rsidR="00D4282C" w:rsidRPr="69AE0B7F">
        <w:rPr>
          <w:sz w:val="28"/>
          <w:szCs w:val="28"/>
        </w:rPr>
        <w:t xml:space="preserve">based experts to participate in </w:t>
      </w:r>
      <w:r w:rsidR="075E04A1" w:rsidRPr="69AE0B7F">
        <w:rPr>
          <w:sz w:val="28"/>
          <w:szCs w:val="28"/>
        </w:rPr>
        <w:t xml:space="preserve">key </w:t>
      </w:r>
      <w:r w:rsidR="00D4282C" w:rsidRPr="69AE0B7F">
        <w:rPr>
          <w:sz w:val="28"/>
          <w:szCs w:val="28"/>
        </w:rPr>
        <w:t xml:space="preserve">meetings in Geneva, </w:t>
      </w:r>
      <w:r w:rsidR="658F3C90" w:rsidRPr="69AE0B7F">
        <w:rPr>
          <w:sz w:val="28"/>
          <w:szCs w:val="28"/>
        </w:rPr>
        <w:t>and</w:t>
      </w:r>
      <w:r w:rsidR="00D4282C" w:rsidRPr="69AE0B7F">
        <w:rPr>
          <w:sz w:val="28"/>
          <w:szCs w:val="28"/>
        </w:rPr>
        <w:t xml:space="preserve"> regional capacity</w:t>
      </w:r>
      <w:r w:rsidR="00D4282C" w:rsidRPr="69AE0B7F">
        <w:rPr>
          <w:rFonts w:ascii="Cambria Math" w:hAnsi="Cambria Math" w:cs="Cambria Math"/>
          <w:sz w:val="28"/>
          <w:szCs w:val="28"/>
        </w:rPr>
        <w:t>‑</w:t>
      </w:r>
      <w:r w:rsidR="00D4282C" w:rsidRPr="69AE0B7F">
        <w:rPr>
          <w:sz w:val="28"/>
          <w:szCs w:val="28"/>
        </w:rPr>
        <w:t>building workshops.</w:t>
      </w:r>
    </w:p>
    <w:p w14:paraId="0AD52C59" w14:textId="77777777" w:rsidR="00D4282C" w:rsidRPr="00D4282C" w:rsidRDefault="00D4282C" w:rsidP="00D4282C">
      <w:pPr>
        <w:spacing w:after="0"/>
        <w:rPr>
          <w:sz w:val="28"/>
          <w:szCs w:val="28"/>
        </w:rPr>
      </w:pPr>
    </w:p>
    <w:p w14:paraId="653B8D46" w14:textId="7F8F87DA" w:rsidR="00880011" w:rsidRDefault="0E4A9CBB" w:rsidP="00D4282C">
      <w:pPr>
        <w:spacing w:after="0"/>
        <w:rPr>
          <w:sz w:val="28"/>
          <w:szCs w:val="28"/>
        </w:rPr>
      </w:pPr>
      <w:r w:rsidRPr="24ADFF36">
        <w:rPr>
          <w:sz w:val="28"/>
          <w:szCs w:val="28"/>
        </w:rPr>
        <w:lastRenderedPageBreak/>
        <w:t>T</w:t>
      </w:r>
      <w:r w:rsidR="00D4282C" w:rsidRPr="24ADFF36">
        <w:rPr>
          <w:sz w:val="28"/>
          <w:szCs w:val="28"/>
        </w:rPr>
        <w:t xml:space="preserve">his briefing formed part of a broader series of efforts </w:t>
      </w:r>
      <w:r w:rsidR="34CD2E88" w:rsidRPr="24ADFF36">
        <w:rPr>
          <w:sz w:val="28"/>
          <w:szCs w:val="28"/>
        </w:rPr>
        <w:t xml:space="preserve">Australia and others have </w:t>
      </w:r>
      <w:r w:rsidR="00D4282C" w:rsidRPr="24ADFF36">
        <w:rPr>
          <w:sz w:val="28"/>
          <w:szCs w:val="28"/>
        </w:rPr>
        <w:t>delivered over the past year to enhance Pacific participation</w:t>
      </w:r>
      <w:r w:rsidR="00D65762" w:rsidRPr="24ADFF36">
        <w:rPr>
          <w:sz w:val="28"/>
          <w:szCs w:val="28"/>
        </w:rPr>
        <w:t xml:space="preserve"> at key disarmament meetings</w:t>
      </w:r>
      <w:r w:rsidR="00D4282C" w:rsidRPr="24ADFF36">
        <w:rPr>
          <w:sz w:val="28"/>
          <w:szCs w:val="28"/>
        </w:rPr>
        <w:t xml:space="preserve">. </w:t>
      </w:r>
    </w:p>
    <w:p w14:paraId="41E174B1" w14:textId="77777777" w:rsidR="00F960E9" w:rsidRDefault="00F960E9" w:rsidP="00E10AE3">
      <w:pPr>
        <w:spacing w:after="0"/>
        <w:rPr>
          <w:sz w:val="28"/>
          <w:szCs w:val="28"/>
        </w:rPr>
      </w:pPr>
    </w:p>
    <w:p w14:paraId="01CC26AA" w14:textId="1A650B83" w:rsidR="1BC73483" w:rsidRDefault="00577F6A" w:rsidP="1BC73483">
      <w:pPr>
        <w:spacing w:after="0"/>
        <w:rPr>
          <w:sz w:val="28"/>
          <w:szCs w:val="28"/>
        </w:rPr>
      </w:pPr>
      <w:r w:rsidRPr="24ADFF36">
        <w:rPr>
          <w:sz w:val="28"/>
          <w:szCs w:val="28"/>
        </w:rPr>
        <w:t xml:space="preserve">Australia is committed to continuing </w:t>
      </w:r>
      <w:r w:rsidR="00F960E9" w:rsidRPr="24ADFF36">
        <w:rPr>
          <w:sz w:val="28"/>
          <w:szCs w:val="28"/>
        </w:rPr>
        <w:t xml:space="preserve">this </w:t>
      </w:r>
      <w:r w:rsidR="001F02DD" w:rsidRPr="24ADFF36">
        <w:rPr>
          <w:sz w:val="28"/>
          <w:szCs w:val="28"/>
        </w:rPr>
        <w:t>important</w:t>
      </w:r>
      <w:r w:rsidR="6781A36A" w:rsidRPr="24ADFF36">
        <w:rPr>
          <w:sz w:val="28"/>
          <w:szCs w:val="28"/>
        </w:rPr>
        <w:t xml:space="preserve"> work.</w:t>
      </w:r>
    </w:p>
    <w:p w14:paraId="66CBF4D7" w14:textId="77777777" w:rsidR="00111FC1" w:rsidRDefault="00111FC1" w:rsidP="1BC73483">
      <w:pPr>
        <w:spacing w:after="0"/>
        <w:rPr>
          <w:sz w:val="28"/>
          <w:szCs w:val="28"/>
        </w:rPr>
      </w:pPr>
    </w:p>
    <w:p w14:paraId="45787344" w14:textId="52B57DF3" w:rsidR="5396AE5A" w:rsidRDefault="5396AE5A" w:rsidP="6482F8E4">
      <w:pPr>
        <w:spacing w:after="0"/>
      </w:pPr>
      <w:r w:rsidRPr="6482F8E4">
        <w:rPr>
          <w:sz w:val="28"/>
          <w:szCs w:val="28"/>
        </w:rPr>
        <w:t>Co-chairs</w:t>
      </w:r>
    </w:p>
    <w:p w14:paraId="337CC4FB" w14:textId="77777777" w:rsidR="00DF2C8F" w:rsidRDefault="00DF2C8F" w:rsidP="00DF2C8F">
      <w:pPr>
        <w:spacing w:after="0"/>
      </w:pPr>
    </w:p>
    <w:p w14:paraId="4A6AC0A1" w14:textId="24415A3B" w:rsidR="00E1433A" w:rsidRDefault="00E1433A" w:rsidP="00DF2C8F">
      <w:pPr>
        <w:spacing w:after="0"/>
        <w:rPr>
          <w:sz w:val="28"/>
          <w:szCs w:val="28"/>
        </w:rPr>
      </w:pPr>
      <w:r w:rsidRPr="69AE0B7F">
        <w:rPr>
          <w:sz w:val="28"/>
          <w:szCs w:val="28"/>
        </w:rPr>
        <w:t xml:space="preserve">Australia supports the ATT Voluntary Trust Fund, recognising it as a key tool to help </w:t>
      </w:r>
      <w:r w:rsidR="00E42F86" w:rsidRPr="69AE0B7F">
        <w:rPr>
          <w:sz w:val="28"/>
          <w:szCs w:val="28"/>
        </w:rPr>
        <w:t>S</w:t>
      </w:r>
      <w:r w:rsidRPr="69AE0B7F">
        <w:rPr>
          <w:sz w:val="28"/>
          <w:szCs w:val="28"/>
        </w:rPr>
        <w:t xml:space="preserve">tates address technical and legislative challenges that may hinder ratification or accession. </w:t>
      </w:r>
    </w:p>
    <w:p w14:paraId="72715778" w14:textId="77777777" w:rsidR="00E1433A" w:rsidRDefault="00E1433A" w:rsidP="00DF2C8F">
      <w:pPr>
        <w:spacing w:after="0"/>
        <w:rPr>
          <w:sz w:val="28"/>
          <w:szCs w:val="28"/>
        </w:rPr>
      </w:pPr>
    </w:p>
    <w:p w14:paraId="4B8EA439" w14:textId="704DBDCC" w:rsidR="00B833DF" w:rsidRDefault="00DF2C8F" w:rsidP="00DF2C8F">
      <w:pPr>
        <w:spacing w:after="0"/>
        <w:rPr>
          <w:sz w:val="28"/>
          <w:szCs w:val="28"/>
        </w:rPr>
      </w:pPr>
      <w:r w:rsidRPr="69AE0B7F">
        <w:rPr>
          <w:sz w:val="28"/>
          <w:szCs w:val="28"/>
        </w:rPr>
        <w:t xml:space="preserve">We underscore the </w:t>
      </w:r>
      <w:r w:rsidR="00B833DF" w:rsidRPr="69AE0B7F">
        <w:rPr>
          <w:sz w:val="28"/>
          <w:szCs w:val="28"/>
        </w:rPr>
        <w:t xml:space="preserve">important </w:t>
      </w:r>
      <w:r w:rsidRPr="69AE0B7F">
        <w:rPr>
          <w:sz w:val="28"/>
          <w:szCs w:val="28"/>
        </w:rPr>
        <w:t>role of the VTF in advancing universalisation, and we welcome its continued support for projects in our region. This includes Fiji’s partnership with the United Nations Regional Centre for Peace and Disarmament in Asia and the Pacific</w:t>
      </w:r>
      <w:r w:rsidR="00A15BD1" w:rsidRPr="69AE0B7F">
        <w:rPr>
          <w:sz w:val="28"/>
          <w:szCs w:val="28"/>
        </w:rPr>
        <w:t>. This partnership aims to strengthen</w:t>
      </w:r>
      <w:r w:rsidRPr="69AE0B7F">
        <w:rPr>
          <w:sz w:val="28"/>
          <w:szCs w:val="28"/>
        </w:rPr>
        <w:t xml:space="preserve"> Fiji’s national arms control system and enhanc</w:t>
      </w:r>
      <w:r w:rsidR="009E2C72" w:rsidRPr="69AE0B7F">
        <w:rPr>
          <w:sz w:val="28"/>
          <w:szCs w:val="28"/>
        </w:rPr>
        <w:t xml:space="preserve">e </w:t>
      </w:r>
      <w:r w:rsidRPr="69AE0B7F">
        <w:rPr>
          <w:sz w:val="28"/>
          <w:szCs w:val="28"/>
        </w:rPr>
        <w:t xml:space="preserve">implementation of the ATT. </w:t>
      </w:r>
    </w:p>
    <w:p w14:paraId="1D6A3DAE" w14:textId="77777777" w:rsidR="00B833DF" w:rsidRDefault="00B833DF" w:rsidP="00DF2C8F">
      <w:pPr>
        <w:spacing w:after="0"/>
        <w:rPr>
          <w:sz w:val="28"/>
          <w:szCs w:val="28"/>
        </w:rPr>
      </w:pPr>
    </w:p>
    <w:p w14:paraId="42A9BB1B" w14:textId="782652FC" w:rsidR="00DF2C8F" w:rsidRDefault="00DF2C8F" w:rsidP="00DF2C8F">
      <w:pPr>
        <w:spacing w:after="0"/>
        <w:rPr>
          <w:sz w:val="28"/>
          <w:szCs w:val="28"/>
        </w:rPr>
      </w:pPr>
      <w:r w:rsidRPr="69AE0B7F">
        <w:rPr>
          <w:sz w:val="28"/>
          <w:szCs w:val="28"/>
        </w:rPr>
        <w:t>We also acknowledge the Philippines’ project with Non</w:t>
      </w:r>
      <w:r w:rsidRPr="69AE0B7F">
        <w:rPr>
          <w:rFonts w:ascii="Cambria Math" w:hAnsi="Cambria Math" w:cs="Cambria Math"/>
          <w:sz w:val="28"/>
          <w:szCs w:val="28"/>
        </w:rPr>
        <w:t>‑</w:t>
      </w:r>
      <w:r w:rsidRPr="69AE0B7F">
        <w:rPr>
          <w:sz w:val="28"/>
          <w:szCs w:val="28"/>
        </w:rPr>
        <w:t>violence International to develop a regional roadmap for ATT universalisation</w:t>
      </w:r>
      <w:r w:rsidR="75486B5E" w:rsidRPr="69AE0B7F">
        <w:rPr>
          <w:sz w:val="28"/>
          <w:szCs w:val="28"/>
        </w:rPr>
        <w:t xml:space="preserve">, </w:t>
      </w:r>
      <w:proofErr w:type="gramStart"/>
      <w:r w:rsidR="75486B5E" w:rsidRPr="69AE0B7F">
        <w:rPr>
          <w:sz w:val="28"/>
          <w:szCs w:val="28"/>
        </w:rPr>
        <w:t>and</w:t>
      </w:r>
      <w:r w:rsidR="00CC31E8" w:rsidRPr="69AE0B7F">
        <w:rPr>
          <w:sz w:val="28"/>
          <w:szCs w:val="28"/>
        </w:rPr>
        <w:t xml:space="preserve"> </w:t>
      </w:r>
      <w:r w:rsidR="04420C22" w:rsidRPr="69AE0B7F">
        <w:rPr>
          <w:sz w:val="28"/>
          <w:szCs w:val="28"/>
        </w:rPr>
        <w:t>a</w:t>
      </w:r>
      <w:r w:rsidR="00CC31E8" w:rsidRPr="69AE0B7F">
        <w:rPr>
          <w:sz w:val="28"/>
          <w:szCs w:val="28"/>
        </w:rPr>
        <w:t>lso</w:t>
      </w:r>
      <w:proofErr w:type="gramEnd"/>
      <w:r w:rsidRPr="69AE0B7F">
        <w:rPr>
          <w:sz w:val="28"/>
          <w:szCs w:val="28"/>
        </w:rPr>
        <w:t xml:space="preserve"> to host a capacity</w:t>
      </w:r>
      <w:r w:rsidRPr="69AE0B7F">
        <w:rPr>
          <w:rFonts w:ascii="Cambria Math" w:hAnsi="Cambria Math" w:cs="Cambria Math"/>
          <w:sz w:val="28"/>
          <w:szCs w:val="28"/>
        </w:rPr>
        <w:t>‑</w:t>
      </w:r>
      <w:r w:rsidRPr="69AE0B7F">
        <w:rPr>
          <w:sz w:val="28"/>
          <w:szCs w:val="28"/>
        </w:rPr>
        <w:t>building workshop focused on combating arms diversion and cross</w:t>
      </w:r>
      <w:r w:rsidRPr="69AE0B7F">
        <w:rPr>
          <w:rFonts w:ascii="Cambria Math" w:hAnsi="Cambria Math" w:cs="Cambria Math"/>
          <w:sz w:val="28"/>
          <w:szCs w:val="28"/>
        </w:rPr>
        <w:t>‑</w:t>
      </w:r>
      <w:r w:rsidRPr="69AE0B7F">
        <w:rPr>
          <w:sz w:val="28"/>
          <w:szCs w:val="28"/>
        </w:rPr>
        <w:t>border smuggling.</w:t>
      </w:r>
    </w:p>
    <w:p w14:paraId="408E6D27" w14:textId="77777777" w:rsidR="00DF2C8F" w:rsidRPr="00DF2C8F" w:rsidRDefault="00DF2C8F" w:rsidP="00DF2C8F">
      <w:pPr>
        <w:spacing w:after="0"/>
        <w:rPr>
          <w:sz w:val="28"/>
          <w:szCs w:val="28"/>
        </w:rPr>
      </w:pPr>
    </w:p>
    <w:p w14:paraId="6BEA1CE5" w14:textId="047BC8E3" w:rsidR="00A234A0" w:rsidRDefault="00DF2C8F" w:rsidP="00DF2C8F">
      <w:pPr>
        <w:spacing w:after="0"/>
        <w:rPr>
          <w:sz w:val="28"/>
          <w:szCs w:val="28"/>
        </w:rPr>
      </w:pPr>
      <w:r w:rsidRPr="00DF2C8F">
        <w:rPr>
          <w:sz w:val="28"/>
          <w:szCs w:val="28"/>
        </w:rPr>
        <w:t>These initiatives demonstrate the tangible impact of the VTF in supporting practical capacity</w:t>
      </w:r>
      <w:r w:rsidRPr="00DF2C8F">
        <w:rPr>
          <w:rFonts w:ascii="Cambria Math" w:hAnsi="Cambria Math" w:cs="Cambria Math"/>
          <w:sz w:val="28"/>
          <w:szCs w:val="28"/>
        </w:rPr>
        <w:t>‑</w:t>
      </w:r>
      <w:r w:rsidRPr="00DF2C8F">
        <w:rPr>
          <w:sz w:val="28"/>
          <w:szCs w:val="28"/>
        </w:rPr>
        <w:t>building and promoting stronger, more effective arms control across our region.</w:t>
      </w:r>
    </w:p>
    <w:p w14:paraId="3A507191" w14:textId="77777777" w:rsidR="00C4547B" w:rsidRDefault="00C4547B" w:rsidP="00E64086">
      <w:pPr>
        <w:spacing w:after="0"/>
        <w:rPr>
          <w:sz w:val="28"/>
          <w:szCs w:val="28"/>
        </w:rPr>
      </w:pPr>
    </w:p>
    <w:p w14:paraId="045C0ECE" w14:textId="640868E6" w:rsidR="00E64086" w:rsidRDefault="00E64086" w:rsidP="00E64086">
      <w:pPr>
        <w:spacing w:after="0"/>
        <w:rPr>
          <w:sz w:val="28"/>
          <w:szCs w:val="28"/>
        </w:rPr>
      </w:pPr>
      <w:r w:rsidRPr="515A7F45">
        <w:rPr>
          <w:sz w:val="28"/>
          <w:szCs w:val="28"/>
        </w:rPr>
        <w:t xml:space="preserve">Australia also </w:t>
      </w:r>
      <w:r w:rsidR="7F80C097" w:rsidRPr="515A7F45">
        <w:rPr>
          <w:sz w:val="28"/>
          <w:szCs w:val="28"/>
        </w:rPr>
        <w:t>continues to contribute to the</w:t>
      </w:r>
      <w:r w:rsidRPr="515A7F45">
        <w:rPr>
          <w:sz w:val="28"/>
          <w:szCs w:val="28"/>
        </w:rPr>
        <w:t xml:space="preserve"> ATT sponsorship program</w:t>
      </w:r>
      <w:r w:rsidR="00C220CC" w:rsidRPr="515A7F45">
        <w:rPr>
          <w:sz w:val="28"/>
          <w:szCs w:val="28"/>
        </w:rPr>
        <w:t>. This program</w:t>
      </w:r>
      <w:r w:rsidRPr="515A7F45">
        <w:rPr>
          <w:sz w:val="28"/>
          <w:szCs w:val="28"/>
        </w:rPr>
        <w:t xml:space="preserve"> enabl</w:t>
      </w:r>
      <w:r w:rsidR="408EBA36" w:rsidRPr="515A7F45">
        <w:rPr>
          <w:sz w:val="28"/>
          <w:szCs w:val="28"/>
        </w:rPr>
        <w:t>e</w:t>
      </w:r>
      <w:r w:rsidR="004477B3" w:rsidRPr="515A7F45">
        <w:rPr>
          <w:sz w:val="28"/>
          <w:szCs w:val="28"/>
        </w:rPr>
        <w:t>s</w:t>
      </w:r>
      <w:r w:rsidR="00111FC1" w:rsidRPr="515A7F45">
        <w:rPr>
          <w:sz w:val="28"/>
          <w:szCs w:val="28"/>
        </w:rPr>
        <w:t xml:space="preserve"> </w:t>
      </w:r>
      <w:r w:rsidRPr="515A7F45">
        <w:rPr>
          <w:sz w:val="28"/>
          <w:szCs w:val="28"/>
        </w:rPr>
        <w:t>representatives from signatories and non</w:t>
      </w:r>
      <w:r w:rsidRPr="515A7F45">
        <w:rPr>
          <w:rFonts w:ascii="Cambria Math" w:hAnsi="Cambria Math" w:cs="Cambria Math"/>
          <w:sz w:val="28"/>
          <w:szCs w:val="28"/>
        </w:rPr>
        <w:t>‑</w:t>
      </w:r>
      <w:r w:rsidRPr="515A7F45">
        <w:rPr>
          <w:sz w:val="28"/>
          <w:szCs w:val="28"/>
        </w:rPr>
        <w:t xml:space="preserve">party </w:t>
      </w:r>
      <w:r w:rsidR="00BA74FC" w:rsidRPr="515A7F45">
        <w:rPr>
          <w:sz w:val="28"/>
          <w:szCs w:val="28"/>
        </w:rPr>
        <w:t>S</w:t>
      </w:r>
      <w:r w:rsidRPr="515A7F45">
        <w:rPr>
          <w:sz w:val="28"/>
          <w:szCs w:val="28"/>
        </w:rPr>
        <w:t>tates with limited resources to participate in ATT meetings.</w:t>
      </w:r>
    </w:p>
    <w:p w14:paraId="336F6653" w14:textId="77777777" w:rsidR="00BA74FC" w:rsidRPr="00E64086" w:rsidRDefault="00BA74FC" w:rsidP="00E64086">
      <w:pPr>
        <w:spacing w:after="0"/>
        <w:rPr>
          <w:sz w:val="28"/>
          <w:szCs w:val="28"/>
        </w:rPr>
      </w:pPr>
    </w:p>
    <w:p w14:paraId="7715C738" w14:textId="6C02905F" w:rsidR="00A85F43" w:rsidRDefault="00E64086" w:rsidP="00E64086">
      <w:pPr>
        <w:spacing w:after="0"/>
        <w:rPr>
          <w:sz w:val="28"/>
          <w:szCs w:val="28"/>
        </w:rPr>
      </w:pPr>
      <w:r w:rsidRPr="69AE0B7F">
        <w:rPr>
          <w:sz w:val="28"/>
          <w:szCs w:val="28"/>
        </w:rPr>
        <w:t>Australia is</w:t>
      </w:r>
      <w:r w:rsidR="39AADEC8" w:rsidRPr="69AE0B7F">
        <w:rPr>
          <w:sz w:val="28"/>
          <w:szCs w:val="28"/>
        </w:rPr>
        <w:t xml:space="preserve"> also</w:t>
      </w:r>
      <w:r w:rsidRPr="69AE0B7F">
        <w:rPr>
          <w:sz w:val="28"/>
          <w:szCs w:val="28"/>
        </w:rPr>
        <w:t xml:space="preserve"> a founding donor to </w:t>
      </w:r>
      <w:r w:rsidR="00895496" w:rsidRPr="69AE0B7F">
        <w:rPr>
          <w:sz w:val="28"/>
          <w:szCs w:val="28"/>
        </w:rPr>
        <w:t>the UN Trust Facility Supporting Cooperation on Arms Regulation</w:t>
      </w:r>
      <w:r w:rsidR="004477B3" w:rsidRPr="69AE0B7F">
        <w:rPr>
          <w:sz w:val="28"/>
          <w:szCs w:val="28"/>
        </w:rPr>
        <w:t>.</w:t>
      </w:r>
      <w:r w:rsidR="00350BD2" w:rsidRPr="69AE0B7F">
        <w:rPr>
          <w:sz w:val="28"/>
          <w:szCs w:val="28"/>
        </w:rPr>
        <w:t xml:space="preserve"> </w:t>
      </w:r>
      <w:r w:rsidR="00895496" w:rsidRPr="69AE0B7F">
        <w:rPr>
          <w:sz w:val="28"/>
          <w:szCs w:val="28"/>
        </w:rPr>
        <w:t>UNSCAR</w:t>
      </w:r>
      <w:r w:rsidRPr="69AE0B7F">
        <w:rPr>
          <w:sz w:val="28"/>
          <w:szCs w:val="28"/>
        </w:rPr>
        <w:t xml:space="preserve"> has played a</w:t>
      </w:r>
      <w:r w:rsidR="00862513" w:rsidRPr="69AE0B7F">
        <w:rPr>
          <w:sz w:val="28"/>
          <w:szCs w:val="28"/>
        </w:rPr>
        <w:t xml:space="preserve">n important </w:t>
      </w:r>
      <w:r w:rsidRPr="69AE0B7F">
        <w:rPr>
          <w:sz w:val="28"/>
          <w:szCs w:val="28"/>
        </w:rPr>
        <w:t>rol</w:t>
      </w:r>
      <w:r w:rsidR="00350BD2" w:rsidRPr="69AE0B7F">
        <w:rPr>
          <w:sz w:val="28"/>
          <w:szCs w:val="28"/>
        </w:rPr>
        <w:t xml:space="preserve">e – </w:t>
      </w:r>
      <w:r w:rsidRPr="69AE0B7F">
        <w:rPr>
          <w:sz w:val="28"/>
          <w:szCs w:val="28"/>
        </w:rPr>
        <w:lastRenderedPageBreak/>
        <w:t>together with civil society and UN organisation</w:t>
      </w:r>
      <w:r w:rsidR="00350BD2" w:rsidRPr="69AE0B7F">
        <w:rPr>
          <w:sz w:val="28"/>
          <w:szCs w:val="28"/>
        </w:rPr>
        <w:t xml:space="preserve">s – </w:t>
      </w:r>
      <w:r w:rsidRPr="69AE0B7F">
        <w:rPr>
          <w:sz w:val="28"/>
          <w:szCs w:val="28"/>
        </w:rPr>
        <w:t>in promoting universalisation of arms control instruments, including the ATT.</w:t>
      </w:r>
    </w:p>
    <w:p w14:paraId="694F34E4" w14:textId="77777777" w:rsidR="00ED72D9" w:rsidRDefault="00ED72D9" w:rsidP="00E64086">
      <w:pPr>
        <w:spacing w:after="0"/>
        <w:rPr>
          <w:sz w:val="28"/>
          <w:szCs w:val="28"/>
        </w:rPr>
      </w:pPr>
    </w:p>
    <w:p w14:paraId="3E310F42" w14:textId="30CE2FD8" w:rsidR="00ED72D9" w:rsidRDefault="00ED72D9" w:rsidP="00ED72D9">
      <w:pPr>
        <w:spacing w:after="0"/>
        <w:rPr>
          <w:sz w:val="28"/>
          <w:szCs w:val="28"/>
        </w:rPr>
      </w:pPr>
      <w:r w:rsidRPr="6482F8E4">
        <w:rPr>
          <w:sz w:val="28"/>
          <w:szCs w:val="28"/>
        </w:rPr>
        <w:t>Finally, we would like to commend the important work of civil society groups. We all benefit from the contributions and participation of diverse stakeholders – including industry, academia, and civil society</w:t>
      </w:r>
      <w:r w:rsidR="00FF2AEE" w:rsidRPr="6482F8E4">
        <w:rPr>
          <w:sz w:val="28"/>
          <w:szCs w:val="28"/>
        </w:rPr>
        <w:t xml:space="preserve">. Their </w:t>
      </w:r>
      <w:r w:rsidRPr="6482F8E4">
        <w:rPr>
          <w:sz w:val="28"/>
          <w:szCs w:val="28"/>
        </w:rPr>
        <w:t xml:space="preserve">perspectives help us better understand how we, as a community of States, can most effectively support this </w:t>
      </w:r>
      <w:r w:rsidR="0FF20651" w:rsidRPr="6482F8E4">
        <w:rPr>
          <w:sz w:val="28"/>
          <w:szCs w:val="28"/>
        </w:rPr>
        <w:t>Treaty</w:t>
      </w:r>
      <w:r w:rsidRPr="6482F8E4">
        <w:rPr>
          <w:sz w:val="28"/>
          <w:szCs w:val="28"/>
        </w:rPr>
        <w:t xml:space="preserve"> and advance its object and purpose.</w:t>
      </w:r>
    </w:p>
    <w:p w14:paraId="3EC20A2E" w14:textId="77777777" w:rsidR="00ED72D9" w:rsidRPr="00ED72D9" w:rsidRDefault="00ED72D9" w:rsidP="00ED72D9">
      <w:pPr>
        <w:spacing w:after="0"/>
        <w:rPr>
          <w:sz w:val="28"/>
          <w:szCs w:val="28"/>
        </w:rPr>
      </w:pPr>
    </w:p>
    <w:p w14:paraId="7B2332C3" w14:textId="6A1DEB0C" w:rsidR="00ED72D9" w:rsidRDefault="00ED72D9" w:rsidP="00ED72D9">
      <w:pPr>
        <w:spacing w:after="0"/>
        <w:rPr>
          <w:sz w:val="28"/>
          <w:szCs w:val="28"/>
        </w:rPr>
      </w:pPr>
      <w:r w:rsidRPr="24ADFF36">
        <w:rPr>
          <w:sz w:val="28"/>
          <w:szCs w:val="28"/>
        </w:rPr>
        <w:t>Australia was pleased to take part in the series of ATT expert group meetings convened by SAFERWORLD last year. These meetings provided valuable opportunities to reflect on the outcomes of CSP11 and to build momentum toward CSP12.</w:t>
      </w:r>
      <w:r w:rsidR="393CCA72" w:rsidRPr="24ADFF36">
        <w:rPr>
          <w:sz w:val="28"/>
          <w:szCs w:val="28"/>
        </w:rPr>
        <w:t xml:space="preserve"> We appreciate</w:t>
      </w:r>
      <w:r w:rsidRPr="24ADFF36">
        <w:rPr>
          <w:sz w:val="28"/>
          <w:szCs w:val="28"/>
        </w:rPr>
        <w:t xml:space="preserve"> </w:t>
      </w:r>
      <w:r w:rsidR="6D743D5C" w:rsidRPr="24ADFF36">
        <w:rPr>
          <w:sz w:val="28"/>
          <w:szCs w:val="28"/>
        </w:rPr>
        <w:t>t</w:t>
      </w:r>
      <w:r w:rsidRPr="24ADFF36">
        <w:rPr>
          <w:sz w:val="28"/>
          <w:szCs w:val="28"/>
        </w:rPr>
        <w:t>he expertise that specialists bring to these discussions</w:t>
      </w:r>
      <w:r w:rsidR="00122682" w:rsidRPr="24ADFF36">
        <w:rPr>
          <w:sz w:val="28"/>
          <w:szCs w:val="28"/>
        </w:rPr>
        <w:t xml:space="preserve"> – </w:t>
      </w:r>
      <w:r w:rsidRPr="24ADFF36">
        <w:rPr>
          <w:sz w:val="28"/>
          <w:szCs w:val="28"/>
        </w:rPr>
        <w:t>developing common understanding and exploring emerging issues around Treaty implementation, including universalisation</w:t>
      </w:r>
      <w:r w:rsidR="002A451C" w:rsidRPr="24ADFF36">
        <w:rPr>
          <w:sz w:val="28"/>
          <w:szCs w:val="28"/>
        </w:rPr>
        <w:t>.</w:t>
      </w:r>
    </w:p>
    <w:p w14:paraId="7349FBEF" w14:textId="77777777" w:rsidR="00ED72D9" w:rsidRPr="00ED72D9" w:rsidRDefault="00ED72D9" w:rsidP="00ED72D9">
      <w:pPr>
        <w:spacing w:after="0"/>
        <w:rPr>
          <w:sz w:val="28"/>
          <w:szCs w:val="28"/>
        </w:rPr>
      </w:pPr>
    </w:p>
    <w:p w14:paraId="105F503D" w14:textId="4C065F82" w:rsidR="00ED72D9" w:rsidRPr="00ED72D9" w:rsidRDefault="00ED72D9" w:rsidP="00ED72D9">
      <w:pPr>
        <w:spacing w:after="0"/>
        <w:rPr>
          <w:sz w:val="28"/>
          <w:szCs w:val="28"/>
        </w:rPr>
      </w:pPr>
      <w:r w:rsidRPr="00ED72D9">
        <w:rPr>
          <w:sz w:val="28"/>
          <w:szCs w:val="28"/>
        </w:rPr>
        <w:t>Australia remains committed to further universalisation efforts across our region.</w:t>
      </w:r>
    </w:p>
    <w:p w14:paraId="2072F21F" w14:textId="77777777" w:rsidR="002A451C" w:rsidRDefault="002A451C" w:rsidP="00ED72D9">
      <w:pPr>
        <w:spacing w:after="0"/>
        <w:rPr>
          <w:sz w:val="28"/>
          <w:szCs w:val="28"/>
        </w:rPr>
      </w:pPr>
    </w:p>
    <w:p w14:paraId="084AF5F5" w14:textId="7409837D" w:rsidR="007A3635" w:rsidRDefault="00ED72D9" w:rsidP="00ED72D9">
      <w:pPr>
        <w:spacing w:after="0"/>
        <w:rPr>
          <w:sz w:val="28"/>
          <w:szCs w:val="28"/>
        </w:rPr>
      </w:pPr>
      <w:r w:rsidRPr="515A7F45">
        <w:rPr>
          <w:sz w:val="28"/>
          <w:szCs w:val="28"/>
        </w:rPr>
        <w:t>Thank you.</w:t>
      </w:r>
    </w:p>
    <w:sectPr w:rsidR="007A3635" w:rsidSect="00297CF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323F" w14:textId="77777777" w:rsidR="004A4207" w:rsidRDefault="004A4207">
      <w:pPr>
        <w:spacing w:after="0" w:line="240" w:lineRule="auto"/>
      </w:pPr>
      <w:r>
        <w:separator/>
      </w:r>
    </w:p>
  </w:endnote>
  <w:endnote w:type="continuationSeparator" w:id="0">
    <w:p w14:paraId="1043D665" w14:textId="77777777" w:rsidR="004A4207" w:rsidRDefault="004A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981819"/>
      <w:docPartObj>
        <w:docPartGallery w:val="Page Numbers (Bottom of Page)"/>
        <w:docPartUnique/>
      </w:docPartObj>
    </w:sdtPr>
    <w:sdtEndPr>
      <w:rPr>
        <w:noProof/>
      </w:rPr>
    </w:sdtEndPr>
    <w:sdtContent>
      <w:p w14:paraId="56ADB133" w14:textId="7B8337EF" w:rsidR="001C6D74" w:rsidRDefault="001C6D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BD5288" w14:textId="211D8353" w:rsidR="00297CF8" w:rsidRDefault="00297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D310B" w14:textId="77777777" w:rsidR="004A4207" w:rsidRDefault="004A4207">
      <w:pPr>
        <w:spacing w:after="0" w:line="240" w:lineRule="auto"/>
      </w:pPr>
      <w:r>
        <w:separator/>
      </w:r>
    </w:p>
  </w:footnote>
  <w:footnote w:type="continuationSeparator" w:id="0">
    <w:p w14:paraId="571C657E" w14:textId="77777777" w:rsidR="004A4207" w:rsidRDefault="004A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37F53"/>
    <w:multiLevelType w:val="hybridMultilevel"/>
    <w:tmpl w:val="D9B20702"/>
    <w:lvl w:ilvl="0" w:tplc="F272B88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51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F8"/>
    <w:rsid w:val="000005BE"/>
    <w:rsid w:val="000058F4"/>
    <w:rsid w:val="000118B6"/>
    <w:rsid w:val="00040CE4"/>
    <w:rsid w:val="000410C0"/>
    <w:rsid w:val="00064542"/>
    <w:rsid w:val="00077B5D"/>
    <w:rsid w:val="000874A6"/>
    <w:rsid w:val="00092720"/>
    <w:rsid w:val="00093AF5"/>
    <w:rsid w:val="000A1AAD"/>
    <w:rsid w:val="000B661C"/>
    <w:rsid w:val="000C10F2"/>
    <w:rsid w:val="000C7777"/>
    <w:rsid w:val="000E2630"/>
    <w:rsid w:val="000E58AC"/>
    <w:rsid w:val="000E5F2E"/>
    <w:rsid w:val="00107AFC"/>
    <w:rsid w:val="00111FC1"/>
    <w:rsid w:val="001151CB"/>
    <w:rsid w:val="001215B7"/>
    <w:rsid w:val="00122670"/>
    <w:rsid w:val="00122682"/>
    <w:rsid w:val="00137D38"/>
    <w:rsid w:val="00140B80"/>
    <w:rsid w:val="00141340"/>
    <w:rsid w:val="00143CFE"/>
    <w:rsid w:val="00160824"/>
    <w:rsid w:val="001675FC"/>
    <w:rsid w:val="00185A18"/>
    <w:rsid w:val="001A3831"/>
    <w:rsid w:val="001A7CA1"/>
    <w:rsid w:val="001B7BB2"/>
    <w:rsid w:val="001C073B"/>
    <w:rsid w:val="001C6D74"/>
    <w:rsid w:val="001D6272"/>
    <w:rsid w:val="001F02DD"/>
    <w:rsid w:val="00276F94"/>
    <w:rsid w:val="002902B6"/>
    <w:rsid w:val="00297CF8"/>
    <w:rsid w:val="002A451C"/>
    <w:rsid w:val="002C7AA9"/>
    <w:rsid w:val="002C7E46"/>
    <w:rsid w:val="002F21A1"/>
    <w:rsid w:val="00315CEA"/>
    <w:rsid w:val="00327CBE"/>
    <w:rsid w:val="00331994"/>
    <w:rsid w:val="00346720"/>
    <w:rsid w:val="00350BD2"/>
    <w:rsid w:val="00371E32"/>
    <w:rsid w:val="003766B3"/>
    <w:rsid w:val="003A141C"/>
    <w:rsid w:val="003F47B8"/>
    <w:rsid w:val="004025D2"/>
    <w:rsid w:val="00403C4A"/>
    <w:rsid w:val="00405B54"/>
    <w:rsid w:val="004127A2"/>
    <w:rsid w:val="00426E60"/>
    <w:rsid w:val="00440C1C"/>
    <w:rsid w:val="004477B3"/>
    <w:rsid w:val="00476756"/>
    <w:rsid w:val="00480E1B"/>
    <w:rsid w:val="0049756D"/>
    <w:rsid w:val="004A1B5A"/>
    <w:rsid w:val="004A4207"/>
    <w:rsid w:val="004B12F5"/>
    <w:rsid w:val="004B4A06"/>
    <w:rsid w:val="004E1E8F"/>
    <w:rsid w:val="004E22F4"/>
    <w:rsid w:val="004E65D9"/>
    <w:rsid w:val="004F2AC9"/>
    <w:rsid w:val="004F55EE"/>
    <w:rsid w:val="005041A7"/>
    <w:rsid w:val="00515062"/>
    <w:rsid w:val="00524354"/>
    <w:rsid w:val="00550920"/>
    <w:rsid w:val="005604A5"/>
    <w:rsid w:val="00567CA6"/>
    <w:rsid w:val="00575628"/>
    <w:rsid w:val="00577F6A"/>
    <w:rsid w:val="005B6A99"/>
    <w:rsid w:val="005C233D"/>
    <w:rsid w:val="005C6083"/>
    <w:rsid w:val="005C7017"/>
    <w:rsid w:val="005C777C"/>
    <w:rsid w:val="005D2D98"/>
    <w:rsid w:val="005E350E"/>
    <w:rsid w:val="005F00BB"/>
    <w:rsid w:val="00601900"/>
    <w:rsid w:val="00601FF6"/>
    <w:rsid w:val="00620A76"/>
    <w:rsid w:val="00633C15"/>
    <w:rsid w:val="006731F4"/>
    <w:rsid w:val="006A2159"/>
    <w:rsid w:val="006A2608"/>
    <w:rsid w:val="006B61C2"/>
    <w:rsid w:val="006C2EAB"/>
    <w:rsid w:val="006D39B1"/>
    <w:rsid w:val="006F240C"/>
    <w:rsid w:val="006F5AE9"/>
    <w:rsid w:val="006F7C74"/>
    <w:rsid w:val="00701FBC"/>
    <w:rsid w:val="0073490D"/>
    <w:rsid w:val="00754109"/>
    <w:rsid w:val="00770E7C"/>
    <w:rsid w:val="0077420B"/>
    <w:rsid w:val="00781ADA"/>
    <w:rsid w:val="007945DD"/>
    <w:rsid w:val="007A3635"/>
    <w:rsid w:val="007A6619"/>
    <w:rsid w:val="007B75E1"/>
    <w:rsid w:val="007C0369"/>
    <w:rsid w:val="007C5361"/>
    <w:rsid w:val="007D4B8B"/>
    <w:rsid w:val="00862513"/>
    <w:rsid w:val="0087394E"/>
    <w:rsid w:val="0087530C"/>
    <w:rsid w:val="00880011"/>
    <w:rsid w:val="00882DF0"/>
    <w:rsid w:val="0089036F"/>
    <w:rsid w:val="008941BA"/>
    <w:rsid w:val="00895496"/>
    <w:rsid w:val="008A7F33"/>
    <w:rsid w:val="008B5CE2"/>
    <w:rsid w:val="008C3581"/>
    <w:rsid w:val="008C67E6"/>
    <w:rsid w:val="008D1C33"/>
    <w:rsid w:val="008F6F29"/>
    <w:rsid w:val="00925212"/>
    <w:rsid w:val="00955962"/>
    <w:rsid w:val="00955D86"/>
    <w:rsid w:val="00960FC1"/>
    <w:rsid w:val="00966D27"/>
    <w:rsid w:val="00967927"/>
    <w:rsid w:val="00973E0C"/>
    <w:rsid w:val="00974997"/>
    <w:rsid w:val="00981355"/>
    <w:rsid w:val="00982954"/>
    <w:rsid w:val="009A07DE"/>
    <w:rsid w:val="009A7873"/>
    <w:rsid w:val="009D3978"/>
    <w:rsid w:val="009E0BC1"/>
    <w:rsid w:val="009E2C72"/>
    <w:rsid w:val="009F017E"/>
    <w:rsid w:val="00A0273A"/>
    <w:rsid w:val="00A03946"/>
    <w:rsid w:val="00A13ABC"/>
    <w:rsid w:val="00A15BD1"/>
    <w:rsid w:val="00A234A0"/>
    <w:rsid w:val="00A34534"/>
    <w:rsid w:val="00A85F43"/>
    <w:rsid w:val="00AA2D50"/>
    <w:rsid w:val="00AB3970"/>
    <w:rsid w:val="00AB7CE3"/>
    <w:rsid w:val="00AD7B95"/>
    <w:rsid w:val="00B11AB8"/>
    <w:rsid w:val="00B132F8"/>
    <w:rsid w:val="00B5349A"/>
    <w:rsid w:val="00B676FA"/>
    <w:rsid w:val="00B74375"/>
    <w:rsid w:val="00B833DF"/>
    <w:rsid w:val="00B83727"/>
    <w:rsid w:val="00B9127A"/>
    <w:rsid w:val="00BA167D"/>
    <w:rsid w:val="00BA2169"/>
    <w:rsid w:val="00BA3634"/>
    <w:rsid w:val="00BA74FC"/>
    <w:rsid w:val="00BB2526"/>
    <w:rsid w:val="00BC1BF0"/>
    <w:rsid w:val="00BC608D"/>
    <w:rsid w:val="00BE28CC"/>
    <w:rsid w:val="00BF50CD"/>
    <w:rsid w:val="00BF50EA"/>
    <w:rsid w:val="00C07AFA"/>
    <w:rsid w:val="00C14885"/>
    <w:rsid w:val="00C220CC"/>
    <w:rsid w:val="00C233EE"/>
    <w:rsid w:val="00C37DCD"/>
    <w:rsid w:val="00C41EE1"/>
    <w:rsid w:val="00C431A5"/>
    <w:rsid w:val="00C4547B"/>
    <w:rsid w:val="00C462BA"/>
    <w:rsid w:val="00C52330"/>
    <w:rsid w:val="00C63D7B"/>
    <w:rsid w:val="00C8297C"/>
    <w:rsid w:val="00CA11AA"/>
    <w:rsid w:val="00CB55C7"/>
    <w:rsid w:val="00CC096D"/>
    <w:rsid w:val="00CC31E8"/>
    <w:rsid w:val="00CC3430"/>
    <w:rsid w:val="00D01275"/>
    <w:rsid w:val="00D31309"/>
    <w:rsid w:val="00D36CB6"/>
    <w:rsid w:val="00D4282C"/>
    <w:rsid w:val="00D65762"/>
    <w:rsid w:val="00D758CF"/>
    <w:rsid w:val="00D76875"/>
    <w:rsid w:val="00D87246"/>
    <w:rsid w:val="00DA0FDB"/>
    <w:rsid w:val="00DA5624"/>
    <w:rsid w:val="00DA67E0"/>
    <w:rsid w:val="00DB355F"/>
    <w:rsid w:val="00DC16DD"/>
    <w:rsid w:val="00DC30F1"/>
    <w:rsid w:val="00DF2C8F"/>
    <w:rsid w:val="00DF7B00"/>
    <w:rsid w:val="00E0281B"/>
    <w:rsid w:val="00E074A8"/>
    <w:rsid w:val="00E10AE3"/>
    <w:rsid w:val="00E11A22"/>
    <w:rsid w:val="00E1433A"/>
    <w:rsid w:val="00E16240"/>
    <w:rsid w:val="00E22EE0"/>
    <w:rsid w:val="00E26015"/>
    <w:rsid w:val="00E42F86"/>
    <w:rsid w:val="00E64086"/>
    <w:rsid w:val="00E709B6"/>
    <w:rsid w:val="00E73683"/>
    <w:rsid w:val="00E93C4E"/>
    <w:rsid w:val="00E940DC"/>
    <w:rsid w:val="00ED72D9"/>
    <w:rsid w:val="00EE42BE"/>
    <w:rsid w:val="00EF18EE"/>
    <w:rsid w:val="00EF4B08"/>
    <w:rsid w:val="00F0427C"/>
    <w:rsid w:val="00F648A6"/>
    <w:rsid w:val="00F729A9"/>
    <w:rsid w:val="00F75C5A"/>
    <w:rsid w:val="00F81F45"/>
    <w:rsid w:val="00F87B7D"/>
    <w:rsid w:val="00F960E9"/>
    <w:rsid w:val="00FB7905"/>
    <w:rsid w:val="00FB7B4D"/>
    <w:rsid w:val="00FE0F5B"/>
    <w:rsid w:val="00FF2AEE"/>
    <w:rsid w:val="04061082"/>
    <w:rsid w:val="04420C22"/>
    <w:rsid w:val="05292A11"/>
    <w:rsid w:val="075E04A1"/>
    <w:rsid w:val="0A4CC3D3"/>
    <w:rsid w:val="0C81604E"/>
    <w:rsid w:val="0C9B95A0"/>
    <w:rsid w:val="0CA13427"/>
    <w:rsid w:val="0D27E406"/>
    <w:rsid w:val="0DA94DB2"/>
    <w:rsid w:val="0E4A9CBB"/>
    <w:rsid w:val="0E59D96E"/>
    <w:rsid w:val="0F3ADD3B"/>
    <w:rsid w:val="0FF20651"/>
    <w:rsid w:val="106E6288"/>
    <w:rsid w:val="146818E2"/>
    <w:rsid w:val="17886E47"/>
    <w:rsid w:val="17B1D5B5"/>
    <w:rsid w:val="1BC73483"/>
    <w:rsid w:val="1DE341A9"/>
    <w:rsid w:val="24ADFF36"/>
    <w:rsid w:val="24B260CD"/>
    <w:rsid w:val="2A80C208"/>
    <w:rsid w:val="2B9DA389"/>
    <w:rsid w:val="2BAA48EB"/>
    <w:rsid w:val="2BAAA336"/>
    <w:rsid w:val="2C081E23"/>
    <w:rsid w:val="2DBCCFF7"/>
    <w:rsid w:val="2FBCFFA2"/>
    <w:rsid w:val="31D3F4B2"/>
    <w:rsid w:val="325D0C4A"/>
    <w:rsid w:val="3329A97C"/>
    <w:rsid w:val="3471CF24"/>
    <w:rsid w:val="34CD2E88"/>
    <w:rsid w:val="352FAC68"/>
    <w:rsid w:val="35EFADE1"/>
    <w:rsid w:val="36FC00BE"/>
    <w:rsid w:val="37C2BA08"/>
    <w:rsid w:val="393CCA72"/>
    <w:rsid w:val="39551333"/>
    <w:rsid w:val="39AADEC8"/>
    <w:rsid w:val="3BAC838B"/>
    <w:rsid w:val="3E6DDFBB"/>
    <w:rsid w:val="404BA309"/>
    <w:rsid w:val="408EBA36"/>
    <w:rsid w:val="41207593"/>
    <w:rsid w:val="41A8D1D7"/>
    <w:rsid w:val="44BEF08D"/>
    <w:rsid w:val="455E969E"/>
    <w:rsid w:val="481A9409"/>
    <w:rsid w:val="48A055DB"/>
    <w:rsid w:val="4B0F1275"/>
    <w:rsid w:val="4BA73E09"/>
    <w:rsid w:val="4C8EADE5"/>
    <w:rsid w:val="50DB2DAA"/>
    <w:rsid w:val="515A7F45"/>
    <w:rsid w:val="51AFB0BC"/>
    <w:rsid w:val="529BAD9A"/>
    <w:rsid w:val="5396AE5A"/>
    <w:rsid w:val="55065039"/>
    <w:rsid w:val="56544150"/>
    <w:rsid w:val="566EB9EB"/>
    <w:rsid w:val="574D1DE6"/>
    <w:rsid w:val="587F8B01"/>
    <w:rsid w:val="597AD96C"/>
    <w:rsid w:val="5AE2E1E8"/>
    <w:rsid w:val="605CE9BB"/>
    <w:rsid w:val="60BFF1F9"/>
    <w:rsid w:val="621AF94F"/>
    <w:rsid w:val="640DEAEB"/>
    <w:rsid w:val="6482F8E4"/>
    <w:rsid w:val="658F3C90"/>
    <w:rsid w:val="6781A36A"/>
    <w:rsid w:val="6812612A"/>
    <w:rsid w:val="68B09B48"/>
    <w:rsid w:val="6962C108"/>
    <w:rsid w:val="69AE0B7F"/>
    <w:rsid w:val="6B156BD4"/>
    <w:rsid w:val="6C999775"/>
    <w:rsid w:val="6D743D5C"/>
    <w:rsid w:val="6EE88944"/>
    <w:rsid w:val="6F31B20B"/>
    <w:rsid w:val="734C9024"/>
    <w:rsid w:val="73B722DE"/>
    <w:rsid w:val="75486B5E"/>
    <w:rsid w:val="7554364C"/>
    <w:rsid w:val="77A31FA1"/>
    <w:rsid w:val="791E2786"/>
    <w:rsid w:val="793D09AF"/>
    <w:rsid w:val="79503DBB"/>
    <w:rsid w:val="7BC44E85"/>
    <w:rsid w:val="7BD54A7F"/>
    <w:rsid w:val="7C9A88FF"/>
    <w:rsid w:val="7E3ADD73"/>
    <w:rsid w:val="7F80C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F4921"/>
  <w15:chartTrackingRefBased/>
  <w15:docId w15:val="{20B85BA3-47B0-445D-84EA-A1B85C8F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CF8"/>
    <w:rPr>
      <w:lang w:val="en-AU"/>
    </w:rPr>
  </w:style>
  <w:style w:type="paragraph" w:styleId="Heading1">
    <w:name w:val="heading 1"/>
    <w:basedOn w:val="Normal"/>
    <w:next w:val="Normal"/>
    <w:link w:val="Heading1Char"/>
    <w:uiPriority w:val="9"/>
    <w:qFormat/>
    <w:rsid w:val="00297CF8"/>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297CF8"/>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297CF8"/>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297CF8"/>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297CF8"/>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297CF8"/>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297CF8"/>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297CF8"/>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297CF8"/>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CF8"/>
    <w:rPr>
      <w:rFonts w:eastAsiaTheme="majorEastAsia" w:cstheme="majorBidi"/>
      <w:color w:val="272727" w:themeColor="text1" w:themeTint="D8"/>
    </w:rPr>
  </w:style>
  <w:style w:type="paragraph" w:styleId="Title">
    <w:name w:val="Title"/>
    <w:basedOn w:val="Normal"/>
    <w:next w:val="Normal"/>
    <w:link w:val="TitleChar"/>
    <w:uiPriority w:val="10"/>
    <w:qFormat/>
    <w:rsid w:val="00297CF8"/>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97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CF8"/>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97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CF8"/>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297CF8"/>
    <w:rPr>
      <w:i/>
      <w:iCs/>
      <w:color w:val="404040" w:themeColor="text1" w:themeTint="BF"/>
    </w:rPr>
  </w:style>
  <w:style w:type="paragraph" w:styleId="ListParagraph">
    <w:name w:val="List Paragraph"/>
    <w:basedOn w:val="Normal"/>
    <w:uiPriority w:val="34"/>
    <w:qFormat/>
    <w:rsid w:val="00297CF8"/>
    <w:pPr>
      <w:ind w:left="720"/>
      <w:contextualSpacing/>
    </w:pPr>
    <w:rPr>
      <w:lang w:val="en-US"/>
    </w:rPr>
  </w:style>
  <w:style w:type="character" w:styleId="IntenseEmphasis">
    <w:name w:val="Intense Emphasis"/>
    <w:basedOn w:val="DefaultParagraphFont"/>
    <w:uiPriority w:val="21"/>
    <w:qFormat/>
    <w:rsid w:val="00297CF8"/>
    <w:rPr>
      <w:i/>
      <w:iCs/>
      <w:color w:val="0F4761" w:themeColor="accent1" w:themeShade="BF"/>
    </w:rPr>
  </w:style>
  <w:style w:type="paragraph" w:styleId="IntenseQuote">
    <w:name w:val="Intense Quote"/>
    <w:basedOn w:val="Normal"/>
    <w:next w:val="Normal"/>
    <w:link w:val="IntenseQuoteChar"/>
    <w:uiPriority w:val="30"/>
    <w:qFormat/>
    <w:rsid w:val="0029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297CF8"/>
    <w:rPr>
      <w:i/>
      <w:iCs/>
      <w:color w:val="0F4761" w:themeColor="accent1" w:themeShade="BF"/>
    </w:rPr>
  </w:style>
  <w:style w:type="character" w:styleId="IntenseReference">
    <w:name w:val="Intense Reference"/>
    <w:basedOn w:val="DefaultParagraphFont"/>
    <w:uiPriority w:val="32"/>
    <w:qFormat/>
    <w:rsid w:val="00297CF8"/>
    <w:rPr>
      <w:b/>
      <w:bCs/>
      <w:smallCaps/>
      <w:color w:val="0F4761" w:themeColor="accent1" w:themeShade="BF"/>
      <w:spacing w:val="5"/>
    </w:rPr>
  </w:style>
  <w:style w:type="paragraph" w:styleId="Header">
    <w:name w:val="header"/>
    <w:basedOn w:val="Normal"/>
    <w:link w:val="HeaderChar"/>
    <w:uiPriority w:val="99"/>
    <w:unhideWhenUsed/>
    <w:rsid w:val="00297C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CF8"/>
    <w:rPr>
      <w:lang w:val="en-AU"/>
    </w:rPr>
  </w:style>
  <w:style w:type="paragraph" w:styleId="Footer">
    <w:name w:val="footer"/>
    <w:basedOn w:val="Normal"/>
    <w:link w:val="FooterChar"/>
    <w:uiPriority w:val="99"/>
    <w:unhideWhenUsed/>
    <w:rsid w:val="00297C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CF8"/>
    <w:rPr>
      <w:lang w:val="en-AU"/>
    </w:rPr>
  </w:style>
  <w:style w:type="paragraph" w:styleId="Revision">
    <w:name w:val="Revision"/>
    <w:hidden/>
    <w:uiPriority w:val="99"/>
    <w:semiHidden/>
    <w:rsid w:val="00D31309"/>
    <w:pPr>
      <w:spacing w:after="0" w:line="240" w:lineRule="auto"/>
    </w:pPr>
    <w:rPr>
      <w:lang w:val="en-AU"/>
    </w:rPr>
  </w:style>
  <w:style w:type="character" w:styleId="CommentReference">
    <w:name w:val="annotation reference"/>
    <w:basedOn w:val="DefaultParagraphFont"/>
    <w:uiPriority w:val="99"/>
    <w:semiHidden/>
    <w:unhideWhenUsed/>
    <w:rsid w:val="00F87B7D"/>
    <w:rPr>
      <w:sz w:val="16"/>
      <w:szCs w:val="16"/>
    </w:rPr>
  </w:style>
  <w:style w:type="paragraph" w:styleId="CommentText">
    <w:name w:val="annotation text"/>
    <w:basedOn w:val="Normal"/>
    <w:link w:val="CommentTextChar"/>
    <w:uiPriority w:val="99"/>
    <w:unhideWhenUsed/>
    <w:rsid w:val="00F87B7D"/>
    <w:pPr>
      <w:spacing w:line="240" w:lineRule="auto"/>
    </w:pPr>
    <w:rPr>
      <w:sz w:val="20"/>
      <w:szCs w:val="20"/>
    </w:rPr>
  </w:style>
  <w:style w:type="character" w:customStyle="1" w:styleId="CommentTextChar">
    <w:name w:val="Comment Text Char"/>
    <w:basedOn w:val="DefaultParagraphFont"/>
    <w:link w:val="CommentText"/>
    <w:uiPriority w:val="99"/>
    <w:rsid w:val="00F87B7D"/>
    <w:rPr>
      <w:sz w:val="20"/>
      <w:szCs w:val="20"/>
      <w:lang w:val="en-AU"/>
    </w:rPr>
  </w:style>
  <w:style w:type="paragraph" w:styleId="CommentSubject">
    <w:name w:val="annotation subject"/>
    <w:basedOn w:val="CommentText"/>
    <w:next w:val="CommentText"/>
    <w:link w:val="CommentSubjectChar"/>
    <w:uiPriority w:val="99"/>
    <w:semiHidden/>
    <w:unhideWhenUsed/>
    <w:rsid w:val="00F87B7D"/>
    <w:rPr>
      <w:b/>
      <w:bCs/>
    </w:rPr>
  </w:style>
  <w:style w:type="character" w:customStyle="1" w:styleId="CommentSubjectChar">
    <w:name w:val="Comment Subject Char"/>
    <w:basedOn w:val="CommentTextChar"/>
    <w:link w:val="CommentSubject"/>
    <w:uiPriority w:val="99"/>
    <w:semiHidden/>
    <w:rsid w:val="00F87B7D"/>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86e3e-1e01-4781-b2c1-8f6f9ce39bba" xsi:nil="true"/>
    <lcf76f155ced4ddcb4097134ff3c332f xmlns="8f7e922f-a535-42ea-a88a-d2aeb4da58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F1C8DE1F14EA408AB32AAE07B531EF" ma:contentTypeVersion="12" ma:contentTypeDescription="Create a new document." ma:contentTypeScope="" ma:versionID="681109b2aaf9d095517a43f6c149f5bd">
  <xsd:schema xmlns:xsd="http://www.w3.org/2001/XMLSchema" xmlns:xs="http://www.w3.org/2001/XMLSchema" xmlns:p="http://schemas.microsoft.com/office/2006/metadata/properties" xmlns:ns2="8f7e922f-a535-42ea-a88a-d2aeb4da5804" xmlns:ns3="dbf86e3e-1e01-4781-b2c1-8f6f9ce39bba" targetNamespace="http://schemas.microsoft.com/office/2006/metadata/properties" ma:root="true" ma:fieldsID="224325e354eca70ed3c8ce76c162b722" ns2:_="" ns3:_="">
    <xsd:import namespace="8f7e922f-a535-42ea-a88a-d2aeb4da5804"/>
    <xsd:import namespace="dbf86e3e-1e01-4781-b2c1-8f6f9ce39b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e922f-a535-42ea-a88a-d2aeb4da5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d2fa76-d9ac-436b-9ac7-bc345fdc3f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f86e3e-1e01-4781-b2c1-8f6f9ce39b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477c12-cecd-49fd-9da9-99cc1866cae1}" ma:internalName="TaxCatchAll" ma:showField="CatchAllData" ma:web="dbf86e3e-1e01-4781-b2c1-8f6f9ce39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784AA4-A02B-48C1-A46A-7F5252CA88C0}">
  <ds:schemaRefs>
    <ds:schemaRef ds:uri="http://purl.org/dc/elements/1.1/"/>
    <ds:schemaRef ds:uri="http://schemas.microsoft.com/office/2006/documentManagement/types"/>
    <ds:schemaRef ds:uri="http://schemas.microsoft.com/office/infopath/2007/PartnerControls"/>
    <ds:schemaRef ds:uri="http://purl.org/dc/dcmitype/"/>
    <ds:schemaRef ds:uri="a2aba84a-5243-4655-85a0-28393f8c71fe"/>
    <ds:schemaRef ds:uri="http://schemas.microsoft.com/office/2006/metadata/properties"/>
    <ds:schemaRef ds:uri="http://purl.org/dc/terms/"/>
    <ds:schemaRef ds:uri="http://schemas.openxmlformats.org/package/2006/metadata/core-properties"/>
    <ds:schemaRef ds:uri="0690cd32-43b1-4c04-bd78-98652a6db61d"/>
    <ds:schemaRef ds:uri="http://www.w3.org/XML/1998/namespace"/>
  </ds:schemaRefs>
</ds:datastoreItem>
</file>

<file path=customXml/itemProps2.xml><?xml version="1.0" encoding="utf-8"?>
<ds:datastoreItem xmlns:ds="http://schemas.openxmlformats.org/officeDocument/2006/customXml" ds:itemID="{765EBEFB-9047-46AE-AA14-38AEEF461C7E}">
  <ds:schemaRefs>
    <ds:schemaRef ds:uri="http://schemas.microsoft.com/sharepoint/v3/contenttype/forms"/>
  </ds:schemaRefs>
</ds:datastoreItem>
</file>

<file path=customXml/itemProps3.xml><?xml version="1.0" encoding="utf-8"?>
<ds:datastoreItem xmlns:ds="http://schemas.openxmlformats.org/officeDocument/2006/customXml" ds:itemID="{6BE241D7-D17E-413A-95A6-2A7C1D9D888B}"/>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3429</Characters>
  <Application>Microsoft Office Word</Application>
  <DocSecurity>0</DocSecurity>
  <Lines>92</Lines>
  <Paragraphs>28</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Brunnemer</dc:creator>
  <cp:keywords>[SEC=OFFICIAL]</cp:keywords>
  <dc:description/>
  <cp:lastModifiedBy>Thuy Brunnemer</cp:lastModifiedBy>
  <cp:revision>2</cp:revision>
  <cp:lastPrinted>2026-03-05T09:37:00Z</cp:lastPrinted>
  <dcterms:created xsi:type="dcterms:W3CDTF">2026-03-25T09:25:00Z</dcterms:created>
  <dcterms:modified xsi:type="dcterms:W3CDTF">2026-03-25T09:25:00Z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v=2022.1;a=SHA256;h=1E54180DD19CD4D8971B6575946E39ED46B7E6A887AEFC728C675F5E2881EBD7</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2026-03-05T08:47:37Z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E3C976A60562AE7AD1FFA0C353DD8E16C8AA21CF</vt:lpwstr>
  </property>
  <property fmtid="{D5CDD505-2E9C-101B-9397-08002B2CF9AE}" pid="17" name="PM_Originating_FileId">
    <vt:lpwstr>04B28EE68E424C63855FE6396550D1A5</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BF109E7F9125545ECAB06C626AF86DDCB9472A9C59321073216606E134CC9793</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4F8BAB43B234B00524EF869AAF30B323</vt:lpwstr>
  </property>
  <property fmtid="{D5CDD505-2E9C-101B-9397-08002B2CF9AE}" pid="25" name="PM_Hash_Salt">
    <vt:lpwstr>DA66A1D55E7B072DFA950186EF3A312A</vt:lpwstr>
  </property>
  <property fmtid="{D5CDD505-2E9C-101B-9397-08002B2CF9AE}" pid="26" name="PM_Hash_SHA1">
    <vt:lpwstr>E66F48410969DE7F81793D0FAB32FA2F1ABA4E29</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0x010100B7F1C8DE1F14EA408AB32AAE07B531EF</vt:lpwstr>
  </property>
  <property fmtid="{D5CDD505-2E9C-101B-9397-08002B2CF9AE}" pid="30" name="MediaServiceImageTags">
    <vt:lpwstr/>
  </property>
</Properties>
</file>